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Pr>
      <w:r>
        <w:rPr>
          <w:b/>
          <w:color w:val="C0392B"/>
          <w:sz w:val="18"/>
        </w:rPr>
        <w:t>NATIONAL COMPLIANCE TRAINING</w:t>
      </w:r>
    </w:p>
    <w:p>
      <w:pPr>
        <w:spacing w:after="40"/>
      </w:pPr>
      <w:r>
        <w:rPr>
          <w:b/>
          <w:color w:val="1A1A2E"/>
          <w:sz w:val="40"/>
        </w:rPr>
        <w:t>Weekly and Monthly Fire Safety Checklist</w:t>
      </w:r>
    </w:p>
    <w:p>
      <w:pPr>
        <w:spacing w:after="200"/>
      </w:pPr>
      <w:r>
        <w:rPr>
          <w:i/>
          <w:color w:val="555555"/>
          <w:sz w:val="21"/>
        </w:rPr>
        <w:t>Routine checks that keep your fire precautions working</w:t>
      </w:r>
    </w:p>
    <w:p>
      <w:pPr>
        <w:pBdr>
          <w:bottom w:val="single" w:sz="8" w:space="1" w:color="C0392B"/>
        </w:pBdr>
        <w:spacing w:after="160"/>
      </w:pPr>
    </w:p>
    <w:p>
      <w:pPr>
        <w:spacing w:after="120"/>
      </w:pPr>
      <w:r>
        <w:rPr>
          <w:sz w:val="22"/>
        </w:rPr>
        <w:t>Use this checklist to record the routine fire safety checks for your premises. Complete each check at the time and enter the date and your initials. Report any fault at once and add it to the Fire Safety Action Plan.</w:t>
      </w:r>
    </w:p>
    <w:p>
      <w:pPr>
        <w:spacing w:before="200" w:after="80"/>
      </w:pPr>
      <w:r>
        <w:rPr>
          <w:b/>
          <w:color w:val="C0392B"/>
          <w:sz w:val="26"/>
        </w:rPr>
        <w:t>Weekly checks</w:t>
      </w:r>
    </w:p>
    <w:tbl>
      <w:tblPr>
        <w:tblStyle w:val="TableGrid"/>
        <w:tblW w:type="auto" w:w="0"/>
        <w:jc w:val="center"/>
        <w:tblLook w:firstColumn="1" w:firstRow="1" w:lastColumn="0" w:lastRow="0" w:noHBand="0" w:noVBand="1" w:val="04A0"/>
      </w:tblPr>
      <w:tblGrid>
        <w:gridCol w:w="2521"/>
        <w:gridCol w:w="2521"/>
        <w:gridCol w:w="2521"/>
        <w:gridCol w:w="2521"/>
      </w:tblGrid>
      <w:tr>
        <w:tc>
          <w:tcPr>
            <w:tcW w:type="dxa" w:w="3969"/>
            <w:shd w:val="clear" w:fill="1A1A2E"/>
          </w:tcPr>
          <w:p>
            <w:r>
              <w:rPr>
                <w:b/>
                <w:color w:val="FFFFFF"/>
                <w:sz w:val="20"/>
              </w:rPr>
              <w:t>Weekly check</w:t>
            </w:r>
          </w:p>
        </w:tc>
        <w:tc>
          <w:tcPr>
            <w:tcW w:type="dxa" w:w="1417"/>
            <w:shd w:val="clear" w:fill="1A1A2E"/>
          </w:tcPr>
          <w:p>
            <w:r>
              <w:rPr>
                <w:b/>
                <w:color w:val="FFFFFF"/>
                <w:sz w:val="20"/>
              </w:rPr>
              <w:t>Date</w:t>
            </w:r>
          </w:p>
        </w:tc>
        <w:tc>
          <w:tcPr>
            <w:tcW w:type="dxa" w:w="1417"/>
            <w:shd w:val="clear" w:fill="1A1A2E"/>
          </w:tcPr>
          <w:p>
            <w:r>
              <w:rPr>
                <w:b/>
                <w:color w:val="FFFFFF"/>
                <w:sz w:val="20"/>
              </w:rPr>
              <w:t>Initials</w:t>
            </w:r>
          </w:p>
        </w:tc>
        <w:tc>
          <w:tcPr>
            <w:tcW w:type="dxa" w:w="2268"/>
            <w:shd w:val="clear" w:fill="1A1A2E"/>
          </w:tcPr>
          <w:p>
            <w:r>
              <w:rPr>
                <w:b/>
                <w:color w:val="FFFFFF"/>
                <w:sz w:val="20"/>
              </w:rPr>
              <w:t>Notes or faults</w:t>
            </w:r>
          </w:p>
        </w:tc>
      </w:tr>
      <w:tr>
        <w:tc>
          <w:tcPr>
            <w:tcW w:type="dxa" w:w="3969"/>
          </w:tcPr>
          <w:p>
            <w:r>
              <w:rPr>
                <w:sz w:val="20"/>
              </w:rPr>
              <w:t>Fire alarm tested from a call point, using a different point each week</w:t>
            </w:r>
          </w:p>
        </w:tc>
        <w:tc>
          <w:tcPr>
            <w:tcW w:type="dxa" w:w="1417"/>
          </w:tcPr>
          <w:p>
            <w:r>
              <w:rPr>
                <w:sz w:val="20"/>
              </w:rPr>
            </w:r>
          </w:p>
        </w:tc>
        <w:tc>
          <w:tcPr>
            <w:tcW w:type="dxa" w:w="1417"/>
          </w:tcPr>
          <w:p>
            <w:r>
              <w:rPr>
                <w:sz w:val="20"/>
              </w:rPr>
            </w:r>
          </w:p>
        </w:tc>
        <w:tc>
          <w:tcPr>
            <w:tcW w:type="dxa" w:w="2268"/>
          </w:tcPr>
          <w:p>
            <w:r>
              <w:rPr>
                <w:sz w:val="20"/>
              </w:rPr>
            </w:r>
          </w:p>
        </w:tc>
      </w:tr>
      <w:tr>
        <w:tc>
          <w:tcPr>
            <w:tcW w:type="dxa" w:w="3969"/>
          </w:tcPr>
          <w:p>
            <w:r>
              <w:rPr>
                <w:sz w:val="20"/>
              </w:rPr>
              <w:t>Escape routes clear and final exit doors open easily</w:t>
            </w:r>
          </w:p>
        </w:tc>
        <w:tc>
          <w:tcPr>
            <w:tcW w:type="dxa" w:w="1417"/>
          </w:tcPr>
          <w:p>
            <w:r>
              <w:rPr>
                <w:sz w:val="20"/>
              </w:rPr>
            </w:r>
          </w:p>
        </w:tc>
        <w:tc>
          <w:tcPr>
            <w:tcW w:type="dxa" w:w="1417"/>
          </w:tcPr>
          <w:p>
            <w:r>
              <w:rPr>
                <w:sz w:val="20"/>
              </w:rPr>
            </w:r>
          </w:p>
        </w:tc>
        <w:tc>
          <w:tcPr>
            <w:tcW w:type="dxa" w:w="2268"/>
          </w:tcPr>
          <w:p>
            <w:r>
              <w:rPr>
                <w:sz w:val="20"/>
              </w:rPr>
            </w:r>
          </w:p>
        </w:tc>
      </w:tr>
      <w:tr>
        <w:tc>
          <w:tcPr>
            <w:tcW w:type="dxa" w:w="3969"/>
          </w:tcPr>
          <w:p>
            <w:r>
              <w:rPr>
                <w:sz w:val="20"/>
              </w:rPr>
              <w:t>Fire doors close fully onto the frame and are not wedged</w:t>
            </w:r>
          </w:p>
        </w:tc>
        <w:tc>
          <w:tcPr>
            <w:tcW w:type="dxa" w:w="1417"/>
          </w:tcPr>
          <w:p>
            <w:r>
              <w:rPr>
                <w:sz w:val="20"/>
              </w:rPr>
            </w:r>
          </w:p>
        </w:tc>
        <w:tc>
          <w:tcPr>
            <w:tcW w:type="dxa" w:w="1417"/>
          </w:tcPr>
          <w:p>
            <w:r>
              <w:rPr>
                <w:sz w:val="20"/>
              </w:rPr>
            </w:r>
          </w:p>
        </w:tc>
        <w:tc>
          <w:tcPr>
            <w:tcW w:type="dxa" w:w="2268"/>
          </w:tcPr>
          <w:p>
            <w:r>
              <w:rPr>
                <w:sz w:val="20"/>
              </w:rPr>
            </w:r>
          </w:p>
        </w:tc>
      </w:tr>
      <w:tr>
        <w:tc>
          <w:tcPr>
            <w:tcW w:type="dxa" w:w="3969"/>
          </w:tcPr>
          <w:p>
            <w:r>
              <w:rPr>
                <w:sz w:val="20"/>
              </w:rPr>
              <w:t>Extinguishers in place, correct type, seals and pins intact</w:t>
            </w:r>
          </w:p>
        </w:tc>
        <w:tc>
          <w:tcPr>
            <w:tcW w:type="dxa" w:w="1417"/>
          </w:tcPr>
          <w:p>
            <w:r>
              <w:rPr>
                <w:sz w:val="20"/>
              </w:rPr>
            </w:r>
          </w:p>
        </w:tc>
        <w:tc>
          <w:tcPr>
            <w:tcW w:type="dxa" w:w="1417"/>
          </w:tcPr>
          <w:p>
            <w:r>
              <w:rPr>
                <w:sz w:val="20"/>
              </w:rPr>
            </w:r>
          </w:p>
        </w:tc>
        <w:tc>
          <w:tcPr>
            <w:tcW w:type="dxa" w:w="2268"/>
          </w:tcPr>
          <w:p>
            <w:r>
              <w:rPr>
                <w:sz w:val="20"/>
              </w:rPr>
            </w:r>
          </w:p>
        </w:tc>
      </w:tr>
      <w:tr>
        <w:tc>
          <w:tcPr>
            <w:tcW w:type="dxa" w:w="3969"/>
          </w:tcPr>
          <w:p>
            <w:r>
              <w:rPr>
                <w:sz w:val="20"/>
              </w:rPr>
              <w:t>Call points and signs visible and not obstructed</w:t>
            </w:r>
          </w:p>
        </w:tc>
        <w:tc>
          <w:tcPr>
            <w:tcW w:type="dxa" w:w="1417"/>
          </w:tcPr>
          <w:p>
            <w:r>
              <w:rPr>
                <w:sz w:val="20"/>
              </w:rPr>
            </w:r>
          </w:p>
        </w:tc>
        <w:tc>
          <w:tcPr>
            <w:tcW w:type="dxa" w:w="1417"/>
          </w:tcPr>
          <w:p>
            <w:r>
              <w:rPr>
                <w:sz w:val="20"/>
              </w:rPr>
            </w:r>
          </w:p>
        </w:tc>
        <w:tc>
          <w:tcPr>
            <w:tcW w:type="dxa" w:w="2268"/>
          </w:tcPr>
          <w:p>
            <w:r>
              <w:rPr>
                <w:sz w:val="20"/>
              </w:rPr>
            </w:r>
          </w:p>
        </w:tc>
      </w:tr>
    </w:tbl>
    <w:p>
      <w:pPr>
        <w:spacing w:before="200" w:after="80"/>
      </w:pPr>
      <w:r>
        <w:rPr>
          <w:b/>
          <w:color w:val="C0392B"/>
          <w:sz w:val="26"/>
        </w:rPr>
        <w:t>Monthly checks</w:t>
      </w:r>
    </w:p>
    <w:tbl>
      <w:tblPr>
        <w:tblStyle w:val="TableGrid"/>
        <w:tblW w:type="auto" w:w="0"/>
        <w:jc w:val="center"/>
        <w:tblLook w:firstColumn="1" w:firstRow="1" w:lastColumn="0" w:lastRow="0" w:noHBand="0" w:noVBand="1" w:val="04A0"/>
      </w:tblPr>
      <w:tblGrid>
        <w:gridCol w:w="2521"/>
        <w:gridCol w:w="2521"/>
        <w:gridCol w:w="2521"/>
        <w:gridCol w:w="2521"/>
      </w:tblGrid>
      <w:tr>
        <w:tc>
          <w:tcPr>
            <w:tcW w:type="dxa" w:w="3969"/>
            <w:shd w:val="clear" w:fill="1A1A2E"/>
          </w:tcPr>
          <w:p>
            <w:r>
              <w:rPr>
                <w:b/>
                <w:color w:val="FFFFFF"/>
                <w:sz w:val="20"/>
              </w:rPr>
              <w:t>Monthly check</w:t>
            </w:r>
          </w:p>
        </w:tc>
        <w:tc>
          <w:tcPr>
            <w:tcW w:type="dxa" w:w="1417"/>
            <w:shd w:val="clear" w:fill="1A1A2E"/>
          </w:tcPr>
          <w:p>
            <w:r>
              <w:rPr>
                <w:b/>
                <w:color w:val="FFFFFF"/>
                <w:sz w:val="20"/>
              </w:rPr>
              <w:t>Date</w:t>
            </w:r>
          </w:p>
        </w:tc>
        <w:tc>
          <w:tcPr>
            <w:tcW w:type="dxa" w:w="1417"/>
            <w:shd w:val="clear" w:fill="1A1A2E"/>
          </w:tcPr>
          <w:p>
            <w:r>
              <w:rPr>
                <w:b/>
                <w:color w:val="FFFFFF"/>
                <w:sz w:val="20"/>
              </w:rPr>
              <w:t>Initials</w:t>
            </w:r>
          </w:p>
        </w:tc>
        <w:tc>
          <w:tcPr>
            <w:tcW w:type="dxa" w:w="2268"/>
            <w:shd w:val="clear" w:fill="1A1A2E"/>
          </w:tcPr>
          <w:p>
            <w:r>
              <w:rPr>
                <w:b/>
                <w:color w:val="FFFFFF"/>
                <w:sz w:val="20"/>
              </w:rPr>
              <w:t>Notes or faults</w:t>
            </w:r>
          </w:p>
        </w:tc>
      </w:tr>
      <w:tr>
        <w:tc>
          <w:tcPr>
            <w:tcW w:type="dxa" w:w="3969"/>
          </w:tcPr>
          <w:p>
            <w:r>
              <w:rPr>
                <w:sz w:val="20"/>
              </w:rPr>
              <w:t>Emergency lighting function tested and all units working</w:t>
            </w:r>
          </w:p>
        </w:tc>
        <w:tc>
          <w:tcPr>
            <w:tcW w:type="dxa" w:w="1417"/>
          </w:tcPr>
          <w:p>
            <w:r>
              <w:rPr>
                <w:sz w:val="20"/>
              </w:rPr>
            </w:r>
          </w:p>
        </w:tc>
        <w:tc>
          <w:tcPr>
            <w:tcW w:type="dxa" w:w="1417"/>
          </w:tcPr>
          <w:p>
            <w:r>
              <w:rPr>
                <w:sz w:val="20"/>
              </w:rPr>
            </w:r>
          </w:p>
        </w:tc>
        <w:tc>
          <w:tcPr>
            <w:tcW w:type="dxa" w:w="2268"/>
          </w:tcPr>
          <w:p>
            <w:r>
              <w:rPr>
                <w:sz w:val="20"/>
              </w:rPr>
            </w:r>
          </w:p>
        </w:tc>
      </w:tr>
      <w:tr>
        <w:tc>
          <w:tcPr>
            <w:tcW w:type="dxa" w:w="3969"/>
          </w:tcPr>
          <w:p>
            <w:r>
              <w:rPr>
                <w:sz w:val="20"/>
              </w:rPr>
              <w:t>Extinguisher gauges reading in the green where fitted</w:t>
            </w:r>
          </w:p>
        </w:tc>
        <w:tc>
          <w:tcPr>
            <w:tcW w:type="dxa" w:w="1417"/>
          </w:tcPr>
          <w:p>
            <w:r>
              <w:rPr>
                <w:sz w:val="20"/>
              </w:rPr>
            </w:r>
          </w:p>
        </w:tc>
        <w:tc>
          <w:tcPr>
            <w:tcW w:type="dxa" w:w="1417"/>
          </w:tcPr>
          <w:p>
            <w:r>
              <w:rPr>
                <w:sz w:val="20"/>
              </w:rPr>
            </w:r>
          </w:p>
        </w:tc>
        <w:tc>
          <w:tcPr>
            <w:tcW w:type="dxa" w:w="2268"/>
          </w:tcPr>
          <w:p>
            <w:r>
              <w:rPr>
                <w:sz w:val="20"/>
              </w:rPr>
            </w:r>
          </w:p>
        </w:tc>
      </w:tr>
      <w:tr>
        <w:tc>
          <w:tcPr>
            <w:tcW w:type="dxa" w:w="3969"/>
          </w:tcPr>
          <w:p>
            <w:r>
              <w:rPr>
                <w:sz w:val="20"/>
              </w:rPr>
              <w:t>Fire door seals, hinges and closers in good order</w:t>
            </w:r>
          </w:p>
        </w:tc>
        <w:tc>
          <w:tcPr>
            <w:tcW w:type="dxa" w:w="1417"/>
          </w:tcPr>
          <w:p>
            <w:r>
              <w:rPr>
                <w:sz w:val="20"/>
              </w:rPr>
            </w:r>
          </w:p>
        </w:tc>
        <w:tc>
          <w:tcPr>
            <w:tcW w:type="dxa" w:w="1417"/>
          </w:tcPr>
          <w:p>
            <w:r>
              <w:rPr>
                <w:sz w:val="20"/>
              </w:rPr>
            </w:r>
          </w:p>
        </w:tc>
        <w:tc>
          <w:tcPr>
            <w:tcW w:type="dxa" w:w="2268"/>
          </w:tcPr>
          <w:p>
            <w:r>
              <w:rPr>
                <w:sz w:val="20"/>
              </w:rPr>
            </w:r>
          </w:p>
        </w:tc>
      </w:tr>
      <w:tr>
        <w:tc>
          <w:tcPr>
            <w:tcW w:type="dxa" w:w="3969"/>
          </w:tcPr>
          <w:p>
            <w:r>
              <w:rPr>
                <w:sz w:val="20"/>
              </w:rPr>
              <w:t>Fire safety signage present, correct and visible</w:t>
            </w:r>
          </w:p>
        </w:tc>
        <w:tc>
          <w:tcPr>
            <w:tcW w:type="dxa" w:w="1417"/>
          </w:tcPr>
          <w:p>
            <w:r>
              <w:rPr>
                <w:sz w:val="20"/>
              </w:rPr>
            </w:r>
          </w:p>
        </w:tc>
        <w:tc>
          <w:tcPr>
            <w:tcW w:type="dxa" w:w="1417"/>
          </w:tcPr>
          <w:p>
            <w:r>
              <w:rPr>
                <w:sz w:val="20"/>
              </w:rPr>
            </w:r>
          </w:p>
        </w:tc>
        <w:tc>
          <w:tcPr>
            <w:tcW w:type="dxa" w:w="2268"/>
          </w:tcPr>
          <w:p>
            <w:r>
              <w:rPr>
                <w:sz w:val="20"/>
              </w:rPr>
            </w:r>
          </w:p>
        </w:tc>
      </w:tr>
      <w:tr>
        <w:tc>
          <w:tcPr>
            <w:tcW w:type="dxa" w:w="3969"/>
          </w:tcPr>
          <w:p>
            <w:r>
              <w:rPr>
                <w:sz w:val="20"/>
              </w:rPr>
              <w:t>Assembly point clear and accessible</w:t>
            </w:r>
          </w:p>
        </w:tc>
        <w:tc>
          <w:tcPr>
            <w:tcW w:type="dxa" w:w="1417"/>
          </w:tcPr>
          <w:p>
            <w:r>
              <w:rPr>
                <w:sz w:val="20"/>
              </w:rPr>
            </w:r>
          </w:p>
        </w:tc>
        <w:tc>
          <w:tcPr>
            <w:tcW w:type="dxa" w:w="1417"/>
          </w:tcPr>
          <w:p>
            <w:r>
              <w:rPr>
                <w:sz w:val="20"/>
              </w:rPr>
            </w:r>
          </w:p>
        </w:tc>
        <w:tc>
          <w:tcPr>
            <w:tcW w:type="dxa" w:w="2268"/>
          </w:tcPr>
          <w:p>
            <w:r>
              <w:rPr>
                <w:sz w:val="20"/>
              </w:rPr>
            </w:r>
          </w:p>
        </w:tc>
      </w:tr>
    </w:tbl>
    <w:p/>
    <w:p>
      <w:r>
        <w:rPr>
          <w:i/>
          <w:color w:val="555555"/>
          <w:sz w:val="17"/>
        </w:rPr>
        <w:t>These routine checks do not replace the servicing carried out by competent contractors, such as annual emergency lighting duration tests and extinguisher servicing. Keep those records too. National Compliance Training.</w:t>
      </w:r>
    </w:p>
    <w:sectPr w:rsidR="00FC693F" w:rsidRPr="0006063C" w:rsidSect="00034616">
      <w:pgSz w:w="12240" w:h="15840"/>
      <w:pgMar w:top="907" w:right="1077" w:bottom="907"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2A2A2A"/>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